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方正黑体_GBK" w:eastAsia="仿宋_GB2312" w:cs="方正黑体_GBK"/>
          <w:szCs w:val="32"/>
        </w:rPr>
      </w:pPr>
      <w:r>
        <w:rPr>
          <w:rFonts w:hint="eastAsia" w:ascii="仿宋_GB2312" w:hAnsi="方正黑体_GBK" w:eastAsia="仿宋_GB2312" w:cs="方正黑体_GBK"/>
          <w:szCs w:val="32"/>
        </w:rPr>
        <w:t>附件:</w:t>
      </w:r>
    </w:p>
    <w:p>
      <w:pPr>
        <w:jc w:val="center"/>
        <w:rPr>
          <w:rFonts w:hint="eastAsia" w:ascii="宋体" w:hAnsi="宋体" w:eastAsia="宋体" w:cs="方正仿宋_GBK"/>
          <w:b/>
          <w:sz w:val="44"/>
          <w:szCs w:val="32"/>
        </w:rPr>
      </w:pPr>
      <w:r>
        <w:rPr>
          <w:rFonts w:hint="eastAsia" w:ascii="宋体" w:hAnsi="宋体" w:eastAsia="宋体" w:cs="方正仿宋_GBK"/>
          <w:b/>
          <w:sz w:val="44"/>
          <w:szCs w:val="32"/>
        </w:rPr>
        <w:t>三年行动巩固提升阶段重点任务</w:t>
      </w:r>
    </w:p>
    <w:p>
      <w:pPr>
        <w:jc w:val="center"/>
        <w:rPr>
          <w:rFonts w:hint="eastAsia" w:ascii="宋体" w:hAnsi="宋体" w:eastAsia="宋体" w:cs="方正仿宋_GBK"/>
          <w:b/>
          <w:sz w:val="44"/>
          <w:szCs w:val="32"/>
        </w:rPr>
      </w:pPr>
    </w:p>
    <w:tbl>
      <w:tblPr>
        <w:tblStyle w:val="4"/>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977"/>
        <w:gridCol w:w="3402"/>
        <w:gridCol w:w="2268"/>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序号</w:t>
            </w:r>
          </w:p>
        </w:tc>
        <w:tc>
          <w:tcPr>
            <w:tcW w:w="1559" w:type="dxa"/>
            <w:vAlign w:val="center"/>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行业领域</w:t>
            </w:r>
          </w:p>
        </w:tc>
        <w:tc>
          <w:tcPr>
            <w:tcW w:w="2977" w:type="dxa"/>
            <w:vAlign w:val="center"/>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重点整治问题</w:t>
            </w:r>
          </w:p>
        </w:tc>
        <w:tc>
          <w:tcPr>
            <w:tcW w:w="3402" w:type="dxa"/>
            <w:vAlign w:val="center"/>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重点任务</w:t>
            </w:r>
          </w:p>
        </w:tc>
        <w:tc>
          <w:tcPr>
            <w:tcW w:w="2268" w:type="dxa"/>
            <w:vAlign w:val="center"/>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责任单位</w:t>
            </w:r>
          </w:p>
        </w:tc>
        <w:tc>
          <w:tcPr>
            <w:tcW w:w="3138" w:type="dxa"/>
          </w:tcPr>
          <w:p>
            <w:pPr>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燃气</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重点排查整治食堂、餐饮场所等场所燃气管道设施、燃气器具等安全风险和重大隐患。</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扎实开展全省学校安全隐患大排查大整治行动，全面排查整治燃气管网和涉及燃气各领域安全风险隐患、存在突出问题和薄弱环节。</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后勤管理处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消防</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方正仿宋_GBK" w:eastAsia="仿宋_GB2312" w:cs="方正仿宋_GBK"/>
                <w:szCs w:val="28"/>
              </w:rPr>
            </w:pPr>
            <w:r>
              <w:rPr>
                <w:rFonts w:hint="eastAsia" w:ascii="仿宋_GB2312" w:hAnsi="方正仿宋_GBK" w:eastAsia="仿宋_GB2312" w:cs="方正仿宋_GBK"/>
                <w:sz w:val="28"/>
                <w:szCs w:val="28"/>
              </w:rPr>
              <w:t>组织开展消防安全综合治理，落实消防安全标准化管理。</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rPr>
              <w:t>开展消防安全综合治理，突出校舍等高层建筑，分级负责、分类排查、综合施策、标本兼治，全面提升消防安全管理、火灾隐患查改、灭火应急处置等能力水平</w:t>
            </w:r>
            <w:r>
              <w:rPr>
                <w:rFonts w:hint="eastAsia" w:ascii="仿宋_GB2312" w:hAnsi="方正仿宋_GBK" w:eastAsia="仿宋_GB2312" w:cs="方正仿宋_GBK"/>
                <w:sz w:val="28"/>
                <w:szCs w:val="28"/>
                <w:lang w:eastAsia="zh-CN"/>
              </w:rPr>
              <w:t>。</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rPr>
              <w:t>保卫处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危化品</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重点开展危险化学品安全风险集中治理。</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深入贯彻落实全省教育系统危险化学品安全风险集中治理实施方案，全面排查整治易燃易爆危险化学品安全隐患，认真研究解决存在的突出问题，降低危险化学品采购、储存、使用、处置等环节安全风险，提高危险化学品安全监督管理能力。</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教务处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4</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学校食堂和食品安全</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加强学校食堂和食品安全管理。</w:t>
            </w:r>
          </w:p>
        </w:tc>
        <w:tc>
          <w:tcPr>
            <w:tcW w:w="3402"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建立健全食品安全相关管理制度，加强食品安全教育和日常管理，落实食品安全校长（园长）负责制。定期开展食品安全自查自纠，降低食品安全风险、及时消除食品安全隐患。</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后勤管理处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5</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校车及交通安全</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落实校车交通安全管理，坚决抵制“黑校车”。</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严格落实《校车安全管理条例》，督促指导学校和校车服务提供者严格落实校车安全管理制度。加强交通安全教育，不断增强</w:t>
            </w:r>
            <w:r>
              <w:rPr>
                <w:rFonts w:hint="eastAsia" w:ascii="仿宋_GB2312" w:hAnsi="方正仿宋_GBK" w:eastAsia="仿宋_GB2312" w:cs="方正仿宋_GBK"/>
                <w:sz w:val="28"/>
                <w:szCs w:val="28"/>
                <w:lang w:eastAsia="zh-CN"/>
              </w:rPr>
              <w:t>师生员工</w:t>
            </w:r>
            <w:r>
              <w:rPr>
                <w:rFonts w:hint="eastAsia" w:ascii="仿宋_GB2312" w:hAnsi="方正仿宋_GBK" w:eastAsia="仿宋_GB2312" w:cs="方正仿宋_GBK"/>
                <w:sz w:val="28"/>
                <w:szCs w:val="28"/>
              </w:rPr>
              <w:t>的交通安全意识。</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p>
          <w:p>
            <w:pPr>
              <w:spacing w:line="500" w:lineRule="exact"/>
              <w:jc w:val="center"/>
              <w:rPr>
                <w:rFonts w:hint="eastAsia" w:ascii="仿宋_GB2312" w:hAnsi="方正仿宋_GBK" w:eastAsia="仿宋_GB2312" w:cs="方正仿宋_GBK"/>
                <w:sz w:val="28"/>
                <w:szCs w:val="28"/>
                <w:lang w:eastAsia="zh-CN"/>
              </w:rPr>
            </w:pPr>
          </w:p>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后勤管理处</w:t>
            </w:r>
          </w:p>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党政办</w:t>
            </w:r>
          </w:p>
          <w:p>
            <w:pPr>
              <w:spacing w:line="500" w:lineRule="exact"/>
              <w:jc w:val="center"/>
              <w:rPr>
                <w:rFonts w:hint="eastAsia" w:ascii="仿宋_GB2312" w:hAnsi="方正仿宋_GBK" w:eastAsia="仿宋_GB2312" w:cs="方正仿宋_GBK"/>
                <w:sz w:val="28"/>
                <w:szCs w:val="28"/>
              </w:rPr>
            </w:pPr>
          </w:p>
          <w:p>
            <w:pPr>
              <w:spacing w:line="500" w:lineRule="exact"/>
              <w:jc w:val="center"/>
              <w:rPr>
                <w:rFonts w:hint="eastAsia"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6</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校舍（城乡自建房屋）</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开展校舍（城乡自建房屋）安全专项整治。</w:t>
            </w:r>
          </w:p>
        </w:tc>
        <w:tc>
          <w:tcPr>
            <w:tcW w:w="3402"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按照“谁拥有谁负责、谁使用谁负责、谁许可谁负责、谁主管谁负责”原则，全面落实校舍安全“四方责任”。做好校外涉生房屋排查，对学校校舍开展起底式、拉网式、全覆盖排查，建立隐患排查整治台账，限期对账销号，实行清单化、闭环式管理。</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基建处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7</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净化校园</w:t>
            </w:r>
          </w:p>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周边环境</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开展校园及周边治安环境综合治理专项行动。</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开展学校及周边商业网点规范管理行动，依法查处各种涉及反动、淫秽、色情、暴力内容的违法经营活动，特别是要禁止彩票、抽奖类游戏、不健康书刊和玩具等影响学生正常学习生活和健康成长的各类事物侵入校园，推动相关部门加强校园周边200米安全区建设；严禁校门50米以内摆设摊点，确保校园周边环境长治久安。</w:t>
            </w:r>
          </w:p>
        </w:tc>
        <w:tc>
          <w:tcPr>
            <w:tcW w:w="2268"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保卫</w:t>
            </w:r>
            <w:bookmarkStart w:id="0" w:name="_GoBack"/>
            <w:bookmarkEnd w:id="0"/>
            <w:r>
              <w:rPr>
                <w:rFonts w:hint="eastAsia" w:ascii="仿宋_GB2312" w:hAnsi="方正仿宋_GBK" w:eastAsia="仿宋_GB2312" w:cs="方正仿宋_GBK"/>
                <w:sz w:val="28"/>
                <w:szCs w:val="28"/>
              </w:rPr>
              <w:t>处</w:t>
            </w: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8</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防溺水教育管理</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严防青少年儿童溺水。</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组织开展防溺水专项行动，全面加强校内教育，全面排查隐患，进一步完善监护管护措施、健全安全提示提醒机制，全面压实责任，严防青少年儿童溺水。</w:t>
            </w:r>
          </w:p>
        </w:tc>
        <w:tc>
          <w:tcPr>
            <w:tcW w:w="2268" w:type="dxa"/>
            <w:vAlign w:val="center"/>
          </w:tcPr>
          <w:p>
            <w:pPr>
              <w:spacing w:line="500" w:lineRule="exact"/>
              <w:jc w:val="center"/>
              <w:rPr>
                <w:rFonts w:hint="eastAsia" w:ascii="仿宋_GB2312" w:hAnsi="方正仿宋_GBK" w:eastAsia="仿宋_GB2312" w:cs="方正仿宋_GBK"/>
                <w:sz w:val="28"/>
                <w:szCs w:val="28"/>
                <w:lang w:eastAsia="zh-CN"/>
              </w:rPr>
            </w:pPr>
            <w:r>
              <w:rPr>
                <w:rFonts w:hint="eastAsia" w:ascii="仿宋_GB2312" w:hAnsi="方正仿宋_GBK" w:eastAsia="仿宋_GB2312" w:cs="方正仿宋_GBK"/>
                <w:sz w:val="28"/>
                <w:szCs w:val="28"/>
                <w:lang w:eastAsia="zh-CN"/>
              </w:rPr>
              <w:t>保卫处</w:t>
            </w:r>
          </w:p>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学生处</w:t>
            </w:r>
          </w:p>
          <w:p>
            <w:pPr>
              <w:spacing w:line="500" w:lineRule="exact"/>
              <w:jc w:val="center"/>
              <w:rPr>
                <w:rFonts w:hint="eastAsia" w:ascii="仿宋_GB2312" w:hAnsi="方正仿宋_GBK" w:eastAsia="仿宋_GB2312" w:cs="方正仿宋_GBK"/>
                <w:sz w:val="28"/>
                <w:szCs w:val="28"/>
                <w:lang w:eastAsia="zh-CN"/>
              </w:rPr>
            </w:pPr>
          </w:p>
        </w:tc>
        <w:tc>
          <w:tcPr>
            <w:tcW w:w="3138" w:type="dxa"/>
          </w:tcPr>
          <w:p>
            <w:pPr>
              <w:spacing w:line="50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9</w:t>
            </w:r>
          </w:p>
        </w:tc>
        <w:tc>
          <w:tcPr>
            <w:tcW w:w="1559" w:type="dxa"/>
            <w:vAlign w:val="center"/>
          </w:tcPr>
          <w:p>
            <w:pPr>
              <w:spacing w:line="44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防范学生欺凌和暴力</w:t>
            </w:r>
          </w:p>
        </w:tc>
        <w:tc>
          <w:tcPr>
            <w:tcW w:w="2977" w:type="dxa"/>
            <w:vAlign w:val="center"/>
          </w:tcPr>
          <w:p>
            <w:pPr>
              <w:spacing w:line="44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开展防范学生欺凌和暴力专项治理行动。</w:t>
            </w: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贯彻落实《安徽省教育厅 安徽省公安厅关于印发&lt;防范学生欺凌和暴力专项治理行动工作方案&gt;的通知》，强化源头防范、风险防控、责任落实任务举措，进一步健全防范学生欺凌和暴力工作长效机制。</w:t>
            </w:r>
          </w:p>
        </w:tc>
        <w:tc>
          <w:tcPr>
            <w:tcW w:w="2268" w:type="dxa"/>
            <w:vAlign w:val="center"/>
          </w:tcPr>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学生处</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保卫处</w:t>
            </w:r>
          </w:p>
        </w:tc>
        <w:tc>
          <w:tcPr>
            <w:tcW w:w="3138" w:type="dxa"/>
          </w:tcPr>
          <w:p>
            <w:pPr>
              <w:spacing w:line="500" w:lineRule="exact"/>
              <w:jc w:val="center"/>
              <w:rPr>
                <w:rFonts w:ascii="仿宋_GB2312" w:hAnsi="方正仿宋_GBK" w:eastAsia="仿宋_GB2312" w:cs="方正仿宋_GBK"/>
                <w:sz w:val="28"/>
                <w:szCs w:val="28"/>
              </w:rPr>
            </w:pPr>
          </w:p>
        </w:tc>
      </w:tr>
    </w:tbl>
    <w:p/>
    <w:sectPr>
      <w:pgSz w:w="16838" w:h="11906" w:orient="landscape"/>
      <w:pgMar w:top="1361" w:right="1474" w:bottom="1304" w:left="1474" w:header="851" w:footer="1587"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3YWZmNjUyODBmZWU0OTRlZTE0Yjg3MjI4YmUzOTgifQ=="/>
  </w:docVars>
  <w:rsids>
    <w:rsidRoot w:val="00722038"/>
    <w:rsid w:val="000030D1"/>
    <w:rsid w:val="00010AE7"/>
    <w:rsid w:val="00037EC1"/>
    <w:rsid w:val="000B56B9"/>
    <w:rsid w:val="00117058"/>
    <w:rsid w:val="00124A45"/>
    <w:rsid w:val="001978EA"/>
    <w:rsid w:val="001B29D6"/>
    <w:rsid w:val="001C4318"/>
    <w:rsid w:val="001D1145"/>
    <w:rsid w:val="001E045F"/>
    <w:rsid w:val="001F6F62"/>
    <w:rsid w:val="00221DF1"/>
    <w:rsid w:val="00257896"/>
    <w:rsid w:val="002B43B8"/>
    <w:rsid w:val="00303764"/>
    <w:rsid w:val="00371560"/>
    <w:rsid w:val="00383967"/>
    <w:rsid w:val="0039772A"/>
    <w:rsid w:val="004273B0"/>
    <w:rsid w:val="004820A2"/>
    <w:rsid w:val="004B467B"/>
    <w:rsid w:val="004E0593"/>
    <w:rsid w:val="005129E9"/>
    <w:rsid w:val="00514F86"/>
    <w:rsid w:val="0052259D"/>
    <w:rsid w:val="005556C0"/>
    <w:rsid w:val="00585706"/>
    <w:rsid w:val="005A0AD8"/>
    <w:rsid w:val="005D59E0"/>
    <w:rsid w:val="00610716"/>
    <w:rsid w:val="00614BB0"/>
    <w:rsid w:val="00620792"/>
    <w:rsid w:val="0063142D"/>
    <w:rsid w:val="00637C2D"/>
    <w:rsid w:val="00651D67"/>
    <w:rsid w:val="00675068"/>
    <w:rsid w:val="00690A4F"/>
    <w:rsid w:val="006E1772"/>
    <w:rsid w:val="00722038"/>
    <w:rsid w:val="007553F8"/>
    <w:rsid w:val="0079724C"/>
    <w:rsid w:val="007B767C"/>
    <w:rsid w:val="007E361E"/>
    <w:rsid w:val="0088062F"/>
    <w:rsid w:val="008E45B8"/>
    <w:rsid w:val="008F540D"/>
    <w:rsid w:val="009003D5"/>
    <w:rsid w:val="0096181A"/>
    <w:rsid w:val="00A8702F"/>
    <w:rsid w:val="00A92591"/>
    <w:rsid w:val="00AC315D"/>
    <w:rsid w:val="00AF79C9"/>
    <w:rsid w:val="00B1045A"/>
    <w:rsid w:val="00B75099"/>
    <w:rsid w:val="00BE510A"/>
    <w:rsid w:val="00BF017F"/>
    <w:rsid w:val="00C4567D"/>
    <w:rsid w:val="00CA16FA"/>
    <w:rsid w:val="00D01534"/>
    <w:rsid w:val="00D1041E"/>
    <w:rsid w:val="00D1606A"/>
    <w:rsid w:val="00D23257"/>
    <w:rsid w:val="00D91452"/>
    <w:rsid w:val="00E67063"/>
    <w:rsid w:val="00ED432B"/>
    <w:rsid w:val="00EE719C"/>
    <w:rsid w:val="00F17426"/>
    <w:rsid w:val="00F45F71"/>
    <w:rsid w:val="00F51429"/>
    <w:rsid w:val="00FB5871"/>
    <w:rsid w:val="00FD6A4D"/>
    <w:rsid w:val="023C5947"/>
    <w:rsid w:val="032D3321"/>
    <w:rsid w:val="13A62350"/>
    <w:rsid w:val="14092680"/>
    <w:rsid w:val="1D33076D"/>
    <w:rsid w:val="205869FF"/>
    <w:rsid w:val="229879F0"/>
    <w:rsid w:val="26CD1C32"/>
    <w:rsid w:val="2A8A2314"/>
    <w:rsid w:val="3B163750"/>
    <w:rsid w:val="3E5079D2"/>
    <w:rsid w:val="410051BD"/>
    <w:rsid w:val="41FD4D22"/>
    <w:rsid w:val="4F68340D"/>
    <w:rsid w:val="50083468"/>
    <w:rsid w:val="50EB4BD8"/>
    <w:rsid w:val="659C46CE"/>
    <w:rsid w:val="66AD6467"/>
    <w:rsid w:val="703379DD"/>
    <w:rsid w:val="70DA0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1122</Words>
  <Characters>1125</Characters>
  <Lines>8</Lines>
  <Paragraphs>2</Paragraphs>
  <TotalTime>0</TotalTime>
  <ScaleCrop>false</ScaleCrop>
  <LinksUpToDate>false</LinksUpToDate>
  <CharactersWithSpaces>1126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2022-05-20T01:39:00Z</dcterms:created>
  <dc:creator>hp</dc:creator>
  <cp:lastModifiedBy>林冬</cp:lastModifiedBy>
  <dcterms:modified xsi:type="dcterms:W3CDTF">2022-05-29T23:26:42Z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0A86918B68AB473F80F47A36D39C7DEF</vt:lpwstr>
  </property>
</Properties>
</file>